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93" w:rsidRPr="00F05915" w:rsidRDefault="00E0042F" w:rsidP="00F05915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</w:pPr>
      <w:r w:rsidRPr="00F0591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Уважаемые </w:t>
      </w:r>
      <w:r w:rsidR="00AD3A74" w:rsidRPr="00F0591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ученики 11-х классов, уважаемые родители.</w:t>
      </w:r>
    </w:p>
    <w:p w:rsidR="0088465D" w:rsidRPr="00A35885" w:rsidRDefault="00AD3A74" w:rsidP="00AD3A74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Сегодня мы проводим второе собрание, посвященное организации Государственной итоговой аттестации (ГИА). 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Вся информация, которую вы услышите, в развернутом виде размещена на нашем сайте в разделе ЕГЭ</w:t>
      </w:r>
      <w:r w:rsidR="00912593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–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20</w:t>
      </w:r>
      <w:r w:rsidR="00C94540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21-22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. </w:t>
      </w:r>
    </w:p>
    <w:p w:rsidR="0088465D" w:rsidRPr="00A35885" w:rsidRDefault="0088465D" w:rsidP="00AD3A74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Вы ставите свои подписи </w:t>
      </w:r>
      <w:r w:rsidR="00AD3A74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на заявлении об участии в ГИА</w:t>
      </w:r>
      <w:r w:rsidR="004A59D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в форме ЕГЭ</w:t>
      </w:r>
      <w:r w:rsidR="00AD3A74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. Подача заявлений на участие в ГИА и 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определение </w:t>
      </w:r>
      <w:r w:rsidR="00FA24FE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конкретного 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списка предметов, по которым сдается ЕГЭ</w:t>
      </w:r>
      <w:r w:rsidR="00AD3A74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 - главный вопрос сегодняшней встречи.</w:t>
      </w:r>
    </w:p>
    <w:p w:rsidR="0088465D" w:rsidRPr="00A35885" w:rsidRDefault="0088465D" w:rsidP="00AD3A74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Вопросы, касающиеся процедуры проведения экзамена</w:t>
      </w:r>
      <w:r w:rsidR="00FA24FE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будут рассмотрены на собрании в середине апреля.</w:t>
      </w:r>
      <w:r w:rsidR="000110AB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Но для вас на сайте размещен Порядок проведения </w:t>
      </w:r>
      <w:r w:rsidR="001C2AB2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ГИА, принятый в 2018 году</w:t>
      </w:r>
      <w:r w:rsidR="000110AB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.</w:t>
      </w:r>
      <w:r w:rsidR="001C2AB2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В настоящее время никаких изменений к нему не принято. Пока он является для нас руководством к действию.</w:t>
      </w:r>
    </w:p>
    <w:p w:rsidR="0088465D" w:rsidRPr="00A35885" w:rsidRDefault="001C2AB2" w:rsidP="001C2AB2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О чем мы уже говорили</w:t>
      </w:r>
      <w:r w:rsidR="0038110F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…</w:t>
      </w: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</w:t>
      </w:r>
      <w:r w:rsidR="0088465D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Первое </w:t>
      </w:r>
      <w:r w:rsidR="003271F9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- </w:t>
      </w:r>
      <w:r w:rsidR="0088465D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допуск к </w:t>
      </w: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ГИА</w:t>
      </w:r>
      <w:r w:rsidR="0088465D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.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Осуществляется приказом 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директора 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школы в мае. </w:t>
      </w:r>
      <w:proofErr w:type="gramStart"/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Допускаются учащиеся, </w:t>
      </w:r>
      <w:r w:rsidR="00AF3256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не имеющие академической задолженности (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имеют положительные оценки </w:t>
      </w:r>
      <w:r w:rsidR="0088465D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u w:val="single"/>
          <w:lang w:eastAsia="ru-RU"/>
        </w:rPr>
        <w:t>по всем</w:t>
      </w:r>
      <w:r w:rsidR="0088465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предметам учебного плана, включая предметы по выбору, </w:t>
      </w:r>
      <w:r w:rsidR="003271F9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учебные курсы базового уровня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за 10 и 11 классы</w:t>
      </w:r>
      <w:r w:rsidR="00FB7E61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)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 получившие «зачтено» по итоговому сочинению</w:t>
      </w:r>
      <w:r w:rsidR="003271F9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. 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2 февраля пять одиннадцатиклассников, бол</w:t>
      </w:r>
      <w:bookmarkStart w:id="0" w:name="_GoBack"/>
      <w:bookmarkEnd w:id="0"/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евших 1 декабря, пишут сочинение.</w:t>
      </w:r>
      <w:proofErr w:type="gramEnd"/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Остальные ученики уже имеют допуск по сочинению. </w:t>
      </w:r>
    </w:p>
    <w:p w:rsidR="001C2AB2" w:rsidRPr="00A35885" w:rsidRDefault="001C2AB2" w:rsidP="001C2AB2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 настоящее время среди 11-классников есть дети, не защитившие по разным причинам курсовые работы, что не позволяет им выставить оценку за проект. Время дополнительной защиты для всех назначено. Классные руководители должны были известить о</w:t>
      </w:r>
      <w:r w:rsidR="00AF3256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б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имеющихся задолженностях. </w:t>
      </w:r>
    </w:p>
    <w:p w:rsidR="00D45E67" w:rsidRPr="00A35885" w:rsidRDefault="003271F9" w:rsidP="004A59DD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Второе –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организация особых условий на ЕГЭ для детей с ограниченными возможностями здоровья, детей-инвалидов и инвалидов. На сайте размещены методические указания, где четко определяется в каких случаях и какие условия предоставляются таким детям, какие документы необходимо предоставить в таких случаях. </w:t>
      </w:r>
      <w:r w:rsidR="004A59DD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У нас есть два ребенка, которым особые условия будут предоставлены. В заявлении они отмечают эти особые условия. Все остальные дети и родители, подписывая заявление и не отмечая особых условий, своей подписью еще раз подтверждают, что </w:t>
      </w:r>
      <w:r w:rsidR="00D45E67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ребенок не имеет никаких особенностей и заболеваний, требующих предоставления ему особых условий.</w:t>
      </w:r>
    </w:p>
    <w:p w:rsidR="00D45E67" w:rsidRPr="00A35885" w:rsidRDefault="004A59DD" w:rsidP="00A35885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Подписанное заявление должно быть передано классному руководителю или заместителю директора до 25 января. Затем</w:t>
      </w:r>
      <w:r w:rsidR="00400C82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мы вносим </w:t>
      </w:r>
      <w:r w:rsidR="00FA24FE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выбранные </w:t>
      </w:r>
      <w:r w:rsidR="00400C82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экзамен</w:t>
      </w:r>
      <w:r w:rsidR="00FA24FE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ы</w:t>
      </w:r>
      <w:r w:rsidR="00400C82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каждому ребенку в 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региональную базу</w:t>
      </w:r>
      <w:r w:rsidR="00400C82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 распечатываем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из нее ведомости с указанием какие экзамены и в какой срок сдаются. Все обучающиеся еще раз выверяют свои данные</w:t>
      </w:r>
      <w:r w:rsidR="00F82669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и ставят подпись</w:t>
      </w:r>
      <w:r w:rsidR="00F82669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. </w:t>
      </w:r>
      <w:r w:rsidR="000110AB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И после 1 февраля изменить список обозначенных предметов возможно только при наличии уважительных причин</w:t>
      </w:r>
      <w:r w:rsidR="000110AB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. Рассматриваем уважительность этих причин не мы, а комиссия департамента образования области. То есть</w:t>
      </w:r>
      <w:r w:rsidR="00F82669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, </w:t>
      </w:r>
      <w:r w:rsidR="000110AB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изменить набор предметов практически нельзя. Поэтому будьте очень внимательны к тому, что вы подписали.</w:t>
      </w:r>
    </w:p>
    <w:p w:rsidR="00C37CF5" w:rsidRPr="00BF2854" w:rsidRDefault="00C37CF5" w:rsidP="00F72760">
      <w:pPr>
        <w:shd w:val="clear" w:color="auto" w:fill="FFFFFF"/>
        <w:spacing w:after="143" w:line="240" w:lineRule="auto"/>
        <w:jc w:val="center"/>
        <w:rPr>
          <w:rFonts w:ascii="Trebuchet MS" w:eastAsia="Times New Roman" w:hAnsi="Trebuchet MS" w:cs="Times New Roman"/>
          <w:b/>
          <w:color w:val="393F44"/>
          <w:sz w:val="30"/>
          <w:szCs w:val="30"/>
          <w:u w:val="single"/>
          <w:lang w:eastAsia="ru-RU"/>
        </w:rPr>
      </w:pPr>
      <w:r w:rsidRPr="00BF2854">
        <w:rPr>
          <w:rFonts w:ascii="Trebuchet MS" w:eastAsia="Times New Roman" w:hAnsi="Trebuchet MS" w:cs="Times New Roman"/>
          <w:b/>
          <w:noProof/>
          <w:color w:val="393F44"/>
          <w:sz w:val="30"/>
          <w:szCs w:val="30"/>
          <w:u w:val="single"/>
          <w:lang w:eastAsia="ru-RU"/>
        </w:rPr>
        <w:lastRenderedPageBreak/>
        <w:drawing>
          <wp:inline distT="0" distB="0" distL="0" distR="0" wp14:anchorId="72601501" wp14:editId="6B12B714">
            <wp:extent cx="6299835" cy="41438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F5" w:rsidRPr="00BF2854" w:rsidRDefault="00C37CF5" w:rsidP="00F72760">
      <w:pPr>
        <w:shd w:val="clear" w:color="auto" w:fill="FFFFFF"/>
        <w:spacing w:after="143" w:line="240" w:lineRule="auto"/>
        <w:jc w:val="center"/>
        <w:rPr>
          <w:rFonts w:ascii="Trebuchet MS" w:eastAsia="Times New Roman" w:hAnsi="Trebuchet MS" w:cs="Times New Roman"/>
          <w:b/>
          <w:color w:val="393F44"/>
          <w:sz w:val="30"/>
          <w:szCs w:val="30"/>
          <w:u w:val="single"/>
          <w:lang w:eastAsia="ru-RU"/>
        </w:rPr>
      </w:pPr>
      <w:r w:rsidRPr="00BF2854">
        <w:rPr>
          <w:rFonts w:ascii="Trebuchet MS" w:eastAsia="Times New Roman" w:hAnsi="Trebuchet MS" w:cs="Times New Roman"/>
          <w:b/>
          <w:noProof/>
          <w:color w:val="393F44"/>
          <w:sz w:val="30"/>
          <w:szCs w:val="30"/>
          <w:u w:val="single"/>
          <w:lang w:eastAsia="ru-RU"/>
        </w:rPr>
        <w:drawing>
          <wp:inline distT="0" distB="0" distL="0" distR="0" wp14:anchorId="480673E0" wp14:editId="3A982AB9">
            <wp:extent cx="6299835" cy="983964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8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69" w:rsidRPr="00A35885" w:rsidRDefault="00DF0BA9" w:rsidP="00F82669"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Как я выбира</w:t>
      </w:r>
      <w:r w:rsidR="00F82669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ю</w:t>
      </w: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перечень предметов, по которым сдаю ЕГЭ?</w:t>
      </w:r>
      <w:r w:rsidR="00FA24FE"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 xml:space="preserve"> </w:t>
      </w:r>
    </w:p>
    <w:p w:rsidR="00F82669" w:rsidRPr="00A35885" w:rsidRDefault="00F82669" w:rsidP="00F82669">
      <w:pPr>
        <w:shd w:val="clear" w:color="auto" w:fill="FFFFFF"/>
        <w:spacing w:after="143" w:line="240" w:lineRule="auto"/>
        <w:ind w:firstLine="708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Выпускникам одиннадцатого класса для получения аттестата предстоит сдать два обязательных предмета – русский язык и математику (профильную или базовую), а для поступления в вуз предметы по выбору.</w:t>
      </w:r>
    </w:p>
    <w:p w:rsidR="00F82669" w:rsidRPr="00A35885" w:rsidRDefault="00F82669" w:rsidP="00F82669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b/>
          <w:color w:val="393F44"/>
          <w:sz w:val="28"/>
          <w:szCs w:val="28"/>
          <w:lang w:eastAsia="ru-RU"/>
        </w:rPr>
        <w:t>Выбираем уровень математики.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В заявлении обозначено: если результаты экзамена по математике вы собираетесь предоставлять в вуз, то в таком случае вам необходимо выбирать профильную математику. Если ее результаты вам в дальнейшем не потребуются – базовую математику. </w:t>
      </w:r>
      <w:proofErr w:type="gramStart"/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Возможно</w:t>
      </w:r>
      <w:proofErr w:type="gramEnd"/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сдать только один экзамен по математике, вы должны сделать выбор. </w:t>
      </w:r>
    </w:p>
    <w:p w:rsidR="00F82669" w:rsidRPr="00A35885" w:rsidRDefault="00F82669" w:rsidP="00F82669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ab/>
        <w:t>От выбранного вами уровня экзамена по математике зависит дата экзамена по русскому языку. Те, кто выбрал базовую математику</w:t>
      </w:r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(3 июня)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 пишут русский язык</w:t>
      </w:r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31 мая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 профильную</w:t>
      </w:r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(2 июня)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</w:t>
      </w:r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–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</w:t>
      </w:r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русский язык 30 мая</w:t>
      </w:r>
      <w:proofErr w:type="gramStart"/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.</w:t>
      </w: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.</w:t>
      </w:r>
      <w:proofErr w:type="gramEnd"/>
    </w:p>
    <w:p w:rsidR="00AE697C" w:rsidRPr="00A35885" w:rsidRDefault="00AE697C" w:rsidP="00A35885">
      <w:pPr>
        <w:pStyle w:val="a3"/>
        <w:shd w:val="clear" w:color="auto" w:fill="FFFFFF"/>
        <w:spacing w:after="143" w:line="240" w:lineRule="auto"/>
        <w:ind w:left="0" w:firstLine="708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Для того</w:t>
      </w:r>
      <w:proofErr w:type="gramStart"/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,</w:t>
      </w:r>
      <w:proofErr w:type="gramEnd"/>
      <w:r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чтобы получить аттестат, необходимо перейти нужный порог баллов по русскому языку и математике. </w:t>
      </w:r>
      <w:r w:rsidR="00A35885" w:rsidRPr="00A35885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Обращаю ваше внимание, что минимальный балл, необходимый для получения аттестата и минимальный балл, необходимый для поступления в вузы разный.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35885" w:rsidTr="00A35885"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</w:p>
        </w:tc>
        <w:tc>
          <w:tcPr>
            <w:tcW w:w="3379" w:type="dxa"/>
          </w:tcPr>
          <w:p w:rsidR="00A35885" w:rsidRP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  <w:lang w:eastAsia="ru-RU"/>
              </w:rPr>
            </w:pPr>
            <w:r w:rsidRPr="00A35885"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  <w:lang w:eastAsia="ru-RU"/>
              </w:rPr>
              <w:t>минимальный балл для получения аттестата</w:t>
            </w:r>
          </w:p>
        </w:tc>
        <w:tc>
          <w:tcPr>
            <w:tcW w:w="3379" w:type="dxa"/>
          </w:tcPr>
          <w:p w:rsidR="00A35885" w:rsidRP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  <w:lang w:eastAsia="ru-RU"/>
              </w:rPr>
            </w:pPr>
            <w:r w:rsidRPr="00A35885"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  <w:lang w:eastAsia="ru-RU"/>
              </w:rPr>
              <w:t xml:space="preserve">Предлагаемый на 2022 год уровень минимальных баллов </w:t>
            </w:r>
            <w:proofErr w:type="spellStart"/>
            <w:r w:rsidRPr="00A35885">
              <w:rPr>
                <w:rFonts w:ascii="Times New Roman" w:eastAsia="Times New Roman" w:hAnsi="Times New Roman" w:cs="Times New Roman"/>
                <w:color w:val="393F44"/>
                <w:sz w:val="20"/>
                <w:szCs w:val="20"/>
                <w:lang w:eastAsia="ru-RU"/>
              </w:rPr>
              <w:t>Минобрнауки</w:t>
            </w:r>
            <w:proofErr w:type="spellEnd"/>
          </w:p>
        </w:tc>
      </w:tr>
      <w:tr w:rsidR="00A35885" w:rsidTr="00A35885"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  <w:t>40</w:t>
            </w:r>
          </w:p>
        </w:tc>
      </w:tr>
      <w:tr w:rsidR="00A35885" w:rsidTr="00A35885"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  <w:t>математика профильная</w:t>
            </w:r>
          </w:p>
        </w:tc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3379" w:type="dxa"/>
          </w:tcPr>
          <w:p w:rsidR="00A35885" w:rsidRDefault="00A35885" w:rsidP="00A35885">
            <w:pPr>
              <w:pStyle w:val="a3"/>
              <w:spacing w:after="143"/>
              <w:ind w:left="0"/>
              <w:jc w:val="both"/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F44"/>
                <w:sz w:val="30"/>
                <w:szCs w:val="30"/>
                <w:lang w:eastAsia="ru-RU"/>
              </w:rPr>
              <w:t>39</w:t>
            </w:r>
          </w:p>
        </w:tc>
      </w:tr>
    </w:tbl>
    <w:p w:rsidR="00A0141E" w:rsidRPr="00A0141E" w:rsidRDefault="00A0141E" w:rsidP="00A0141E">
      <w:pPr>
        <w:shd w:val="clear" w:color="auto" w:fill="FFFFFF"/>
        <w:spacing w:before="168" w:after="168" w:line="240" w:lineRule="auto"/>
        <w:ind w:firstLine="708"/>
        <w:jc w:val="both"/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</w:pPr>
      <w:r w:rsidRPr="00A0141E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Но в большинстве случаев требования ВУЗов будут намного выше. </w:t>
      </w:r>
      <w:r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>Вузы</w:t>
      </w:r>
      <w:r w:rsidRPr="00A0141E">
        <w:rPr>
          <w:rFonts w:ascii="Times New Roman" w:eastAsia="Times New Roman" w:hAnsi="Times New Roman" w:cs="Times New Roman"/>
          <w:color w:val="393F44"/>
          <w:sz w:val="28"/>
          <w:szCs w:val="28"/>
          <w:lang w:eastAsia="ru-RU"/>
        </w:rPr>
        <w:t xml:space="preserve"> вправе сами устанавливать минимальные баллы для всех направлений и форм обучения. Для победителей олимпиад вузы имеют право потребовать пройти дополнительные экзамены помимо получения более 75 баллов по ЭГЭ.</w:t>
      </w:r>
    </w:p>
    <w:p w:rsidR="00AE697C" w:rsidRDefault="00AE697C" w:rsidP="00AE697C">
      <w:pPr>
        <w:pStyle w:val="a3"/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 w:rsidRPr="00BF2854">
        <w:rPr>
          <w:rFonts w:ascii="Trebuchet MS" w:eastAsia="Times New Roman" w:hAnsi="Trebuchet MS" w:cs="Times New Roman"/>
          <w:noProof/>
          <w:color w:val="393F44"/>
          <w:sz w:val="30"/>
          <w:szCs w:val="30"/>
          <w:lang w:eastAsia="ru-RU"/>
        </w:rPr>
        <w:drawing>
          <wp:inline distT="0" distB="0" distL="0" distR="0" wp14:anchorId="032112D7" wp14:editId="26DC7249">
            <wp:extent cx="5724000" cy="14663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146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7C" w:rsidRDefault="00AE697C" w:rsidP="00AE697C">
      <w:pPr>
        <w:pStyle w:val="a3"/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 w:rsidRPr="00BF2854">
        <w:rPr>
          <w:rFonts w:ascii="Trebuchet MS" w:hAnsi="Trebuchet MS"/>
          <w:noProof/>
          <w:sz w:val="30"/>
          <w:szCs w:val="30"/>
          <w:lang w:eastAsia="ru-RU"/>
        </w:rPr>
        <w:drawing>
          <wp:inline distT="0" distB="0" distL="0" distR="0" wp14:anchorId="2C7B9EE3" wp14:editId="1D8B388B">
            <wp:extent cx="5649132" cy="65867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78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15" w:rsidRPr="00BF2854" w:rsidRDefault="00AE697C" w:rsidP="00F05915">
      <w:pPr>
        <w:shd w:val="clear" w:color="auto" w:fill="FFFFFF"/>
        <w:spacing w:after="143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lastRenderedPageBreak/>
        <w:t>Все остальные экзамены являются экзаменами по выбору.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</w:t>
      </w:r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Экзамены по выбору в большинстве случаев должны соответствовать предметам углубленного изучения. </w:t>
      </w:r>
      <w:r w:rsidR="00F05915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Это оптимальный вариант.</w:t>
      </w:r>
    </w:p>
    <w:p w:rsidR="00A0141E" w:rsidRDefault="00F05915" w:rsidP="00A0141E">
      <w:pPr>
        <w:pStyle w:val="a3"/>
        <w:shd w:val="clear" w:color="auto" w:fill="FFFFFF"/>
        <w:spacing w:after="143" w:line="240" w:lineRule="auto"/>
        <w:ind w:left="0" w:firstLine="360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И</w:t>
      </w:r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сходим из того, что вы проанализировали требования Приемных комиссий вузов, в которые дети собираются поступать. Правила набора были опубликованы до 1 ноября 2021 года на основании Порядка приема на </w:t>
      </w:r>
      <w:proofErr w:type="gramStart"/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обучение по</w:t>
      </w:r>
      <w:proofErr w:type="gramEnd"/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образовательным программам высшего образования (приказ</w:t>
      </w:r>
      <w:r w:rsidR="00A0141E" w:rsidRPr="00A0141E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 w:rsidR="00A0141E" w:rsidRPr="00451EA0">
        <w:rPr>
          <w:rFonts w:ascii="stk" w:hAnsi="stk"/>
          <w:color w:val="000000"/>
          <w:sz w:val="27"/>
          <w:szCs w:val="27"/>
          <w:shd w:val="clear" w:color="auto" w:fill="FFFFFF"/>
        </w:rPr>
        <w:t>от</w:t>
      </w:r>
      <w:r w:rsidR="00A0141E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13.09.21 №753, он </w:t>
      </w:r>
      <w:r w:rsidR="00A0141E" w:rsidRPr="00451EA0">
        <w:rPr>
          <w:rFonts w:ascii="stk" w:hAnsi="stk"/>
          <w:color w:val="000000"/>
          <w:sz w:val="27"/>
          <w:szCs w:val="27"/>
          <w:shd w:val="clear" w:color="auto" w:fill="FFFFFF"/>
        </w:rPr>
        <w:t>был зарегистрирован в Минюсте 14.09.21</w:t>
      </w:r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).</w:t>
      </w:r>
    </w:p>
    <w:p w:rsidR="00F05915" w:rsidRPr="00F05915" w:rsidRDefault="00FA24FE" w:rsidP="00F059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Можно</w:t>
      </w:r>
      <w:r w:rsidR="009E05A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подать заявление в 5 вузов. </w:t>
      </w:r>
      <w:r w:rsidR="00A0141E" w:rsidRPr="006E5DC6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Увеличилась сумма специальностей и направлений, которые абитуриент может выбрать для поступления. 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В рамках вуза п</w:t>
      </w:r>
      <w:r w:rsidR="00A0141E" w:rsidRPr="006E5DC6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одать документы </w:t>
      </w:r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можно </w:t>
      </w:r>
      <w:r w:rsidR="00A0141E" w:rsidRPr="006E5DC6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на десять интересующих направлений вместо трех, как было ранее.</w:t>
      </w:r>
      <w:r w:rsidR="00A0141E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Новшеством является возможность на некоторых программах предоставить ЕГЭ по собственному выбору. </w:t>
      </w:r>
      <w:r w:rsidR="00F05915" w:rsidRP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Например, абитуриент собирается поступать на </w:t>
      </w:r>
      <w:hyperlink r:id="rId10" w:history="1">
        <w:r w:rsidR="00F05915" w:rsidRPr="00F05915">
          <w:rPr>
            <w:rFonts w:ascii="Times New Roman" w:eastAsia="Times New Roman" w:hAnsi="Times New Roman" w:cs="Times New Roman"/>
            <w:color w:val="393F44"/>
            <w:sz w:val="30"/>
            <w:szCs w:val="30"/>
            <w:lang w:eastAsia="ru-RU"/>
          </w:rPr>
          <w:t>факультет химической технологии и биотехнологии</w:t>
        </w:r>
      </w:hyperlink>
      <w:r w:rsidR="00F05915" w:rsidRP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. По новым правилам, он может выбрать, результат какого ЕГЭ приложить — по химии или по биологии. В итоге у выпускников, которые сдают не три экзамена, а четыре или пять, появляется больше вариативной возможности, и увеличивается фактор участия в конкурсе, потому что они выбирают максимальный балл </w:t>
      </w:r>
      <w:proofErr w:type="gramStart"/>
      <w:r w:rsidR="00F05915" w:rsidRP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из</w:t>
      </w:r>
      <w:proofErr w:type="gramEnd"/>
      <w:r w:rsidR="00F05915" w:rsidRP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имеющихся.</w:t>
      </w:r>
    </w:p>
    <w:p w:rsidR="00A0141E" w:rsidRDefault="00A0141E" w:rsidP="00A0141E">
      <w:pPr>
        <w:pStyle w:val="a3"/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</w:p>
    <w:p w:rsidR="00805972" w:rsidRPr="00BF2854" w:rsidRDefault="00F05915" w:rsidP="00F05915">
      <w:pPr>
        <w:pStyle w:val="a3"/>
        <w:shd w:val="clear" w:color="auto" w:fill="FFFFFF"/>
        <w:spacing w:after="143" w:line="240" w:lineRule="auto"/>
        <w:ind w:left="0" w:firstLine="360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Поэтому, заполняя заявление, действуем по правилу </w:t>
      </w:r>
      <w:r w:rsidR="00CA687D" w:rsidRPr="00BF2854">
        <w:rPr>
          <w:rFonts w:ascii="Times New Roman" w:eastAsia="Times New Roman" w:hAnsi="Times New Roman" w:cs="Times New Roman"/>
          <w:b/>
          <w:color w:val="393F44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393F44"/>
          <w:sz w:val="30"/>
          <w:szCs w:val="30"/>
          <w:lang w:eastAsia="ru-RU"/>
        </w:rPr>
        <w:t>«</w:t>
      </w:r>
      <w:r w:rsidR="00CA687D" w:rsidRPr="00BF2854">
        <w:rPr>
          <w:rFonts w:ascii="Times New Roman" w:eastAsia="Times New Roman" w:hAnsi="Times New Roman" w:cs="Times New Roman"/>
          <w:b/>
          <w:color w:val="393F44"/>
          <w:sz w:val="30"/>
          <w:szCs w:val="30"/>
          <w:lang w:eastAsia="ru-RU"/>
        </w:rPr>
        <w:t>я выбираю по максимуму</w:t>
      </w:r>
      <w:r w:rsidR="009E05A1" w:rsidRPr="00BF2854">
        <w:rPr>
          <w:rFonts w:ascii="Times New Roman" w:eastAsia="Times New Roman" w:hAnsi="Times New Roman" w:cs="Times New Roman"/>
          <w:b/>
          <w:color w:val="393F44"/>
          <w:sz w:val="30"/>
          <w:szCs w:val="30"/>
          <w:lang w:eastAsia="ru-RU"/>
        </w:rPr>
        <w:t xml:space="preserve">. </w:t>
      </w:r>
      <w:r w:rsidR="00805972" w:rsidRPr="00BF2854">
        <w:rPr>
          <w:rFonts w:ascii="Times New Roman" w:eastAsia="Times New Roman" w:hAnsi="Times New Roman" w:cs="Times New Roman"/>
          <w:b/>
          <w:color w:val="393F44"/>
          <w:sz w:val="30"/>
          <w:szCs w:val="30"/>
          <w:lang w:eastAsia="ru-RU"/>
        </w:rPr>
        <w:t>Я</w:t>
      </w:r>
      <w:r w:rsidR="00805972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могу отказаться от сдачи предметов по выбору, если они мне не потребуются для</w:t>
      </w:r>
      <w:r w:rsidR="00FA24FE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</w:t>
      </w:r>
      <w:r w:rsidR="00805972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я</w:t>
      </w:r>
      <w:r w:rsidR="00805972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в высшее учебное заведение (мой выбор специальности может измениться). Для этого необходимо </w:t>
      </w:r>
      <w:r w:rsidR="00FA24FE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с конца мая, </w:t>
      </w:r>
      <w:r w:rsidR="00805972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не позднее, чем за 1 день (но чем раньше, тем лучше) подать заявление завучам (форму об отказе взять у них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)</w:t>
      </w:r>
      <w:r w:rsidR="00805972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.</w:t>
      </w:r>
    </w:p>
    <w:p w:rsidR="00CA687D" w:rsidRPr="00BF2854" w:rsidRDefault="00F05915" w:rsidP="00BF28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ab/>
        <w:t xml:space="preserve">Возле каждого предмета в заявлении стоит дата согласно Проекту расписания ЕГЭ. Детям подробно было объяснено, как выбирается дата. 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Предметы по выбору 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ставятся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первый (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ранний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)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предлагаемый срок. Более поздний срок можно выбрать только в случае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совпадения экзаменов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. Например,</w:t>
      </w:r>
      <w:r w:rsidR="00FA24FE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История 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стоит 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6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июня и 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30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июня, выбрать 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30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июня вы можете только в том случае, если 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6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июня вы 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пишете </w:t>
      </w:r>
      <w:r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Ф</w:t>
      </w:r>
      <w:r w:rsidR="00BC17A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изику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.</w:t>
      </w:r>
    </w:p>
    <w:p w:rsidR="00536E38" w:rsidRPr="00BF2854" w:rsidRDefault="00DF0BA9" w:rsidP="00F05915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</w:pPr>
      <w:r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Выбор английского языка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(</w:t>
      </w:r>
      <w:r w:rsidR="00536E3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устная часть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) 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и информатики 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предполагает 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две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даты.</w:t>
      </w:r>
      <w:r w:rsidR="00536E3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В заявлении есть </w:t>
      </w:r>
      <w:proofErr w:type="spellStart"/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сносочка</w:t>
      </w:r>
      <w:proofErr w:type="spellEnd"/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– «</w:t>
      </w:r>
      <w:r w:rsidR="00C16689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р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егиональный центр обработки информации оставляет за собой право назначения на экзамен в одностороннем порядке без согласования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»</w:t>
      </w:r>
      <w:r w:rsidR="00324A11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. </w:t>
      </w:r>
      <w:r w:rsidR="00C16689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Почему? Потому что пунктов, оснащенных техникой для экзамена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,</w:t>
      </w:r>
      <w:r w:rsidR="00C16689" w:rsidRPr="00BF2854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мало, а детей много. </w:t>
      </w:r>
      <w:r w:rsidR="00536E3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Т.е. вы сейчас выбираете дату, но возможно, что 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>экзамен</w:t>
      </w:r>
      <w:r w:rsidR="00536E38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перенесут на другой день.</w:t>
      </w:r>
      <w:r w:rsidR="00F05915">
        <w:rPr>
          <w:rFonts w:ascii="Times New Roman" w:eastAsia="Times New Roman" w:hAnsi="Times New Roman" w:cs="Times New Roman"/>
          <w:color w:val="393F44"/>
          <w:sz w:val="30"/>
          <w:szCs w:val="30"/>
          <w:lang w:eastAsia="ru-RU"/>
        </w:rPr>
        <w:t xml:space="preserve"> К этому надо отнестись с пониманием.</w:t>
      </w:r>
    </w:p>
    <w:sectPr w:rsidR="00536E38" w:rsidRPr="00BF2854" w:rsidSect="007439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075"/>
    <w:multiLevelType w:val="multilevel"/>
    <w:tmpl w:val="A8E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38F"/>
    <w:multiLevelType w:val="multilevel"/>
    <w:tmpl w:val="51662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805204"/>
    <w:multiLevelType w:val="multilevel"/>
    <w:tmpl w:val="51C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55D2F"/>
    <w:multiLevelType w:val="hybridMultilevel"/>
    <w:tmpl w:val="60F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90F03"/>
    <w:multiLevelType w:val="multilevel"/>
    <w:tmpl w:val="ABB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36012"/>
    <w:multiLevelType w:val="hybridMultilevel"/>
    <w:tmpl w:val="CD5600C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60C4BAE"/>
    <w:multiLevelType w:val="multilevel"/>
    <w:tmpl w:val="3B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A7BF6"/>
    <w:multiLevelType w:val="multilevel"/>
    <w:tmpl w:val="B3DE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6484B"/>
    <w:multiLevelType w:val="hybridMultilevel"/>
    <w:tmpl w:val="F366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40487"/>
    <w:multiLevelType w:val="hybridMultilevel"/>
    <w:tmpl w:val="F366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94E"/>
    <w:rsid w:val="000110AB"/>
    <w:rsid w:val="00073799"/>
    <w:rsid w:val="000B2D16"/>
    <w:rsid w:val="00141967"/>
    <w:rsid w:val="001C2AB2"/>
    <w:rsid w:val="00227A1E"/>
    <w:rsid w:val="002423DC"/>
    <w:rsid w:val="00324A11"/>
    <w:rsid w:val="003271F9"/>
    <w:rsid w:val="0033731C"/>
    <w:rsid w:val="00364573"/>
    <w:rsid w:val="0038110F"/>
    <w:rsid w:val="003D6520"/>
    <w:rsid w:val="00400C82"/>
    <w:rsid w:val="004108B3"/>
    <w:rsid w:val="00451EA0"/>
    <w:rsid w:val="004A59DD"/>
    <w:rsid w:val="00536E38"/>
    <w:rsid w:val="0056361A"/>
    <w:rsid w:val="00641C72"/>
    <w:rsid w:val="006477F6"/>
    <w:rsid w:val="00667163"/>
    <w:rsid w:val="006E5DC6"/>
    <w:rsid w:val="007439B6"/>
    <w:rsid w:val="00777E00"/>
    <w:rsid w:val="00805972"/>
    <w:rsid w:val="008303BD"/>
    <w:rsid w:val="00863842"/>
    <w:rsid w:val="00874E8A"/>
    <w:rsid w:val="0088465D"/>
    <w:rsid w:val="009010C8"/>
    <w:rsid w:val="00912593"/>
    <w:rsid w:val="00947060"/>
    <w:rsid w:val="009E05A1"/>
    <w:rsid w:val="009F6E1F"/>
    <w:rsid w:val="00A0141E"/>
    <w:rsid w:val="00A1023E"/>
    <w:rsid w:val="00A35885"/>
    <w:rsid w:val="00A40E1C"/>
    <w:rsid w:val="00A61D44"/>
    <w:rsid w:val="00AD3A74"/>
    <w:rsid w:val="00AE697C"/>
    <w:rsid w:val="00AF3256"/>
    <w:rsid w:val="00B54F67"/>
    <w:rsid w:val="00B638F0"/>
    <w:rsid w:val="00BC17A8"/>
    <w:rsid w:val="00BF2854"/>
    <w:rsid w:val="00C1438D"/>
    <w:rsid w:val="00C16689"/>
    <w:rsid w:val="00C37CF5"/>
    <w:rsid w:val="00C406AB"/>
    <w:rsid w:val="00C94540"/>
    <w:rsid w:val="00CA687D"/>
    <w:rsid w:val="00D35710"/>
    <w:rsid w:val="00D45E67"/>
    <w:rsid w:val="00D619D1"/>
    <w:rsid w:val="00DF0BA9"/>
    <w:rsid w:val="00E0042F"/>
    <w:rsid w:val="00F05915"/>
    <w:rsid w:val="00F4494E"/>
    <w:rsid w:val="00F72760"/>
    <w:rsid w:val="00F72E37"/>
    <w:rsid w:val="00F82669"/>
    <w:rsid w:val="00FA24FE"/>
    <w:rsid w:val="00FB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45E67"/>
    <w:rPr>
      <w:i/>
      <w:iCs/>
    </w:rPr>
  </w:style>
  <w:style w:type="character" w:styleId="a8">
    <w:name w:val="Strong"/>
    <w:basedOn w:val="a0"/>
    <w:uiPriority w:val="22"/>
    <w:qFormat/>
    <w:rsid w:val="00D45E67"/>
    <w:rPr>
      <w:b/>
      <w:bCs/>
    </w:rPr>
  </w:style>
  <w:style w:type="character" w:styleId="a9">
    <w:name w:val="Hyperlink"/>
    <w:basedOn w:val="a0"/>
    <w:uiPriority w:val="99"/>
    <w:semiHidden/>
    <w:unhideWhenUsed/>
    <w:rsid w:val="009E05A1"/>
    <w:rPr>
      <w:color w:val="0000FF"/>
      <w:u w:val="single"/>
    </w:rPr>
  </w:style>
  <w:style w:type="table" w:styleId="aa">
    <w:name w:val="Table Grid"/>
    <w:basedOn w:val="a1"/>
    <w:uiPriority w:val="59"/>
    <w:rsid w:val="00A3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.mospolytech.ru/fakultety-i-instituty/fakultet-khimicheskoj-tekhnologii-i-biotekhnologi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28</cp:revision>
  <cp:lastPrinted>2022-01-20T10:45:00Z</cp:lastPrinted>
  <dcterms:created xsi:type="dcterms:W3CDTF">2016-04-11T11:49:00Z</dcterms:created>
  <dcterms:modified xsi:type="dcterms:W3CDTF">2022-01-20T13:07:00Z</dcterms:modified>
</cp:coreProperties>
</file>