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88460E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88460E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88460E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88460E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88460E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center"/>
                  </w:pPr>
                  <w:r>
                    <w:rPr>
                      <w:color w:val="000000"/>
                    </w:rPr>
                    <w:t>на 1 января 2021 г.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</w:tr>
      <w:tr w:rsidR="0088460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государственное общеобразовательное учреждение Ярославской области "Средняя школа "Провинциальный колледж"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21674889</w:t>
            </w:r>
          </w:p>
        </w:tc>
      </w:tr>
      <w:tr w:rsidR="0088460E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  <w:jc w:val="center"/>
            </w:pPr>
          </w:p>
        </w:tc>
      </w:tr>
      <w:tr w:rsidR="0088460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образования Ярославской области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88460E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  <w:jc w:val="center"/>
            </w:pPr>
          </w:p>
        </w:tc>
      </w:tr>
      <w:tr w:rsidR="0088460E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00097608</w:t>
            </w:r>
          </w:p>
        </w:tc>
      </w:tr>
      <w:tr w:rsidR="0088460E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</w:tr>
      <w:tr w:rsidR="0088460E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  <w:jc w:val="center"/>
            </w:pPr>
          </w:p>
        </w:tc>
      </w:tr>
      <w:tr w:rsidR="0088460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88460E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88460E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rPr>
                <w:color w:val="000000"/>
              </w:rPr>
            </w:pPr>
          </w:p>
        </w:tc>
      </w:tr>
    </w:tbl>
    <w:p w:rsidR="0088460E" w:rsidRDefault="0088460E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88460E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8460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88460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8460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Государственное общеобразовательное учреждение Ярославской области «Средняя школа «Провинциальный колледж» (далее учреждение) создано в соответствии с Гражданским кодексом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Учреждение является некоммерческой организацией,  по типу - бюджетным учреждением, по типу образовательной организации – общеобразовательной организацией. Функции и полномочия учредителя учреждения от имени Ярославской области осуществляет департамент образования Ярославской области. Функции и полномочия собственника имущества учреждения осуществляет ДИЗО Ярославской области.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Для достижения поставленных целей учреждение осуществляет следующие основные виды деятельности: - образовательную деятельность.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8460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88460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8460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Полное наименование: государственное общеобразовательное  учреждение Ярославской области «Средняя школа «Провинциальный колледж». Сокращенное: ГОУ ЯО Средняя школа «Провинциальный колледж». Организационно-правовая форма: государственные бюджетные учреждения субъектов РФ. Юридический почтовый адрес и адрес местонахождения:150049 г. Ярославль, ул.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Б.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Октябрьская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 д.79. Учреждение действует на основании устава, утвержденного приказом департамента образования Ярославской области № 201/01-03 от 28.08.2020года. Учреждение самостоятельно ведет финансово-хозяйственную деятельность, имеет самостоятельный баланс и лицевые счета (по учету средств субсидии на выполнение государственного задания, средств во временном распоряжении и целевых субсидий), обладает обособленным имуществом, которое закреплено за ним на праве оперативного управления. Собственником имущества является субъект РФ - Ярославская область. Учреждение выполняет государственное задание, а также ведет приносящую доход деятельность. Номера лицевых счетов: 903050236 – для учета операций со средствами бюджетных учреждений (государственное задание и внебюджетная деятельность), 903050238 – для учета операций с субсидиями на иные цели, 903050237 - средства во временном распоряжении. Бухгалтерский учет ведется структурным подразделением – бухгалтерией, возглавляемым главным бухгалтером.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Предметом деятельности учреждения является оказание услуг (выполнение работ) в целях обеспечения реализации полномочий Учредителя в сфере образования в соответствии с действующим законодательством. Основные виды деятельности: - реализация основных общеобразовательных программ среднего общего образования; - реализация дополнительных общеразвивающих программ. Для реализации прав обучающихся на получение дополнительных общеразвивающих программ учреждение организует работу структурного подразделения дополнительного образования детей "Центр дополнительного образования детей "Открытие".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8460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88460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8460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Учреждением в период с 01.01.2020 по 31.12.2020 в соответствии с нормами Федерального закона от 18.07.2011 N 223-ФЗ "О закупках товаров, работ, услуг отдельными видами юридических лиц" (далее - Закон N 223-ФЗ); Федерального закона от 05.04.2019г №44-ФЗ «О контрактной системе в сфере закупок товаров, работ, услуг для обеспечения государственных и муниципальных нужд» заключены 123 договора.</w:t>
                  </w:r>
                  <w:proofErr w:type="gramEnd"/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Штатная численность учреждения по состоянию на начало периода 98 человек, на конец отчетного периода 93 человека. Свободных вакансий по состоянию на 01.01.2020 - 0,25 единицы; на 31.12.2020 – 1,75 единиц.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Обеспечение основными средствами, в том числе особо ценным движимым имуществом, осуществляется за счет средств субсидии на иные цели, субсидии на выполнение государственного задания, за счет средств от приносящей доход деятельности.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Техническое состояние основных средств Учреждения находится в удовлетворительном состоянии. Не пригодные к дальнейшей эксплуатации объекты основных сре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дств св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оевременно списываются с баланса учреждения в порядке, установленном законодательством, с учетом требования учредителя. Сохранность основных средств обеспечивается посредством их закрепления за материально-ответственными лицами и проведением инвентаризаций имущества.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Средняя заработная плата основного персонала составила 29829 рублей. Рабочее место каждого сотрудника технически оборудовано компьютерной техникой с доступом в интернет. Учебные кабинеты имеют достаточное комплексно-методическое обеспечение. Учреждение имеет свой сайт в интернете https://pcollege.edu.yar.ru, который поддерживается в актуальном состоянии. Лимиты потребления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теплоэнергоресурсов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соблюдаются.    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На 2020 год учреждение получило государственное задание по обучению учащихся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по основным общеобразовательным программам среднего общего образования в количестве 301 человек,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по дополнительным общеразвивающим программам в количестве 35885 человеко-часов. Государственное задание выполнено в следующих объемах: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 реализация основных общеобразовательных программ среднего общего образования – 304,3 чел; - реализация дополнительных общеразвивающих программ – 40536 чел/ч.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8460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88460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8460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Источниками финансирования деятельности учреждения являются: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- субсидии на финансовое обеспечение выполнения государственного задания на оказание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государственных услуг (выполнение работ);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- поступления от платной и иной приносящей доход деятельности учреждения;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- субсидии на иные цели.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Порядок, условия предоставления Учреждению субсидии на выполнение задания, а также график перечисления данной субсидии определены соглашением от 14.09.2020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Пкол-гз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(далее - Соглашение). На 1 января 2020г. учреждение не имело остатка средств субсидии на выполнение государственного задания. За 2020г. получено 30933100,18руб., что составляет 100% от плановых назначений года. Израсходовано на выполнение государственного задания 85,5% от полученных средств. Отчет об исполнении плана ФХД за счет средств субсидии на выполнение задания приведен в форме 0503737 КФО 4.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По средствам от приносящей доход деятельности учреждение получило средства: от оказания платных услуг в объеме 4159300 руб., что составляет 96,5% от плановых назначений года; от пожертвований в объеме 3731850 руб., что составляет 98,47% от плановых назначений года. Использовано 95,19% от поступивших в отчетном году средств; от сдачи в утиль металлолома и макулатуры 13878 руб. Отчет об исполнении плана ФХД по средствам, полученным от приносящей доход деятельности, представлен в форме 0503737 КФО 2.</w:t>
                  </w: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По средствам субсидии на иные цели учреждение согласно соглашению №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Пкол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-ин от 19.09.2020 получило денежные средства в размере 795815 руб., что составляет 100% от плановых назначений года. Использовано 97,3% от поступивших в отчетном году средств. Отчет об исполнении плана ФХД по средствам субсидии на иные цели представлен в форме 0503737 КФО 5. Сведения об исполнении мероприятий в рамках субсидий на иные цели представлены в форме 0503766 в составе годовой бухгалтерской отчетности.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8460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88460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8460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Пояснение формы 0503737 КВД 5: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На 1 января 2020г. учреждение имело остатки средств 2019г. по субсидиям на иные цели в сумме 6553,69 руб., которые в 1 квартале 2020г. возвращены в доход бюджета. Данный возврат в доход бюджета отражен в форме 0503737 (КВД 5) по стр.592 граф 4,5 со знаком минус (-6553,69).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Пояснение формы 0503730 в части остатков по счетам учета: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- сч.105 (стр.080) по КВД 5 10260,85 руб. остатки методических материалов (сборники, брошюры), наградные бланки, изготовление которых было произведено за счет целевых субсидий 2016 – 2020гг., а использование их предусматривается в дальнейшей работе при проведении областных и российских мероприятий;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- сч.401.50 (стр. 160) - отражены расходы будущих периодов по КФО 2 в сумме 6864,46 руб. (КОСГУ 227 – 2320,98 руб. договор ОСАГО, КОСГКУ 226 – 4543,48 руб. неисключительные права пользования программами) и по КФО 4 в сумме 6313,79 руб. (КОСГУ 226 неисключительные права пользования программами).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      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401.60 (стр.520) – отражены созданные резервы предстоящих расходов на оплату труда (компенсации при увольнении) КОСГУ 211 в сумме 1212811,09 руб. и на начисления на оплату труда (30,2%) КОСГУ 213 в сумме 366268,95 руб.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Пояснение к справке о наличии имущества и обязательств 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забалансовых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счетах: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01 (стр. 010) – по договору от 28.11.2016 №180000088445 с ПАО «Ростелеком» учреждению по акту приема-передачи передано для осуществления доступа в интернет оборудование, стоимостью 4500 руб.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02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(020) – по договорам ответственного хранения от 23.06.2020, 20.11.2020 и 30.11.2020 учреждение получило от ГКУ ЯО «Агентство по обеспечению функционирования системы образования Ярославской области» оборудование на хранение до момента оформления передачи оборудования в соответствии с законодательством на сумму 1878628,47 руб.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03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030) – учтены бланки строгой отчетности (аттестаты, удостоверения к медалям) в оценочной стоимости 1 руб. за единицу в количестве 8 шт.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07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070) – учтены наградные материалы, не являющиеся бланками строгой отчетности, по цене приобретения на общую сумму 2243,22 руб.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09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090) – учтен комплект зимних шин к автомобилю учреждения на сумм 12800 руб.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20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200) – учтена дебиторская задолженность, не востребованная кредиторами (переплаты за платные услуги) для наблюдения в течение срока исковой давности в сумме 11208 руб.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26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260) – учтено имущество, находящееся в медицинском кабинете, переданное в безвозмездное пользование медицинскому учреждению, обслуживающему учащихся нашего учреждения.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27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270) – учтено имущество (спецодежда для персонала), находящееся в пользовании работников.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Пояснение формы 0503710: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по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4.40120.271 отражена амортизация основных средств, приобретенных до смены типа учреждения и по основным средствам, полученным безвозмездно;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401.20.272 отражено списание материальных запасов (наградных материалов отличившимся  выпускникам и гигиенических масок, полученных безвозмездно).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Расшифровка показателей, отраженных в справке по заключению учреждением счетов бухгалтерского учета отчетного финансового года (ф. 0503710 Р)</w:t>
                  </w: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2"/>
                    <w:gridCol w:w="3402"/>
                    <w:gridCol w:w="3402"/>
                  </w:tblGrid>
                  <w:tr w:rsidR="0088460E">
                    <w:trPr>
                      <w:trHeight w:val="390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680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4 401 10 176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Нефинансовые активы, всего, </w:t>
                        </w:r>
                      </w:p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-19286984,15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4.10311.000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-19452984,15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Уменьшение стоимости земельного участка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4.10112.000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166000,00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Дооценка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сооружения (забора) до справедливой (рыночной) стоимости</w:t>
                        </w:r>
                      </w:p>
                    </w:tc>
                  </w:tr>
                </w:tbl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2"/>
                    <w:gridCol w:w="3402"/>
                    <w:gridCol w:w="3402"/>
                  </w:tblGrid>
                  <w:tr w:rsidR="0088460E">
                    <w:trPr>
                      <w:trHeight w:val="390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680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4 401 10 172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Корректировка расчетов с учредителем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-19286984,15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4.21006.000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-19452984,15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Уменьшение стоимости земельного участка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4.21006.000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166000,00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Дооценка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сооружения (забора) до справедливой (рыночной) стоимости</w:t>
                        </w:r>
                      </w:p>
                    </w:tc>
                  </w:tr>
                </w:tbl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   </w:t>
                  </w:r>
                </w:p>
                <w:p w:rsidR="0088460E" w:rsidRDefault="0088460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2"/>
                    <w:gridCol w:w="3402"/>
                    <w:gridCol w:w="3402"/>
                  </w:tblGrid>
                  <w:tr w:rsidR="0088460E">
                    <w:trPr>
                      <w:trHeight w:val="390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680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2 401 10 173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Расчеты по доходам, всего,</w:t>
                        </w:r>
                      </w:p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3488,00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2.20531.000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3488,00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Списана невостребованная дебиторская задолженность по доходам от оказания услуг с отражением ее на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забалансовом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счете 20</w:t>
                        </w:r>
                      </w:p>
                    </w:tc>
                  </w:tr>
                </w:tbl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 </w:t>
                  </w:r>
                </w:p>
                <w:p w:rsidR="0088460E" w:rsidRDefault="0088460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2"/>
                    <w:gridCol w:w="3402"/>
                    <w:gridCol w:w="3402"/>
                  </w:tblGrid>
                  <w:tr w:rsidR="0088460E">
                    <w:trPr>
                      <w:trHeight w:val="390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680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4 401 10 191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Нефинансовые активы, всего, </w:t>
                        </w:r>
                      </w:p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9031,50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4.10536.000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9031,50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Безвозмездные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неденежные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поступления от МКУ ЦОФ Кировского и Ленинского районов материалов</w:t>
                        </w:r>
                      </w:p>
                    </w:tc>
                  </w:tr>
                </w:tbl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2"/>
                    <w:gridCol w:w="3402"/>
                    <w:gridCol w:w="3402"/>
                  </w:tblGrid>
                  <w:tr w:rsidR="0088460E">
                    <w:trPr>
                      <w:trHeight w:val="390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680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2 401 10 196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Нефинансовые активы, всего, </w:t>
                        </w:r>
                      </w:p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197172,00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2.10136.000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197172,00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Безвозмездные поступления от организаций негосударственного сектора мебели</w:t>
                        </w:r>
                      </w:p>
                    </w:tc>
                  </w:tr>
                </w:tbl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2"/>
                    <w:gridCol w:w="3402"/>
                    <w:gridCol w:w="3402"/>
                  </w:tblGrid>
                  <w:tr w:rsidR="0088460E">
                    <w:trPr>
                      <w:trHeight w:val="390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680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2 401 10 197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Нефинансовые активы, всего, </w:t>
                        </w:r>
                      </w:p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в том числе по счетам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104484,00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  <w:p w:rsidR="0088460E" w:rsidRDefault="0088460E">
                        <w:pPr>
                          <w:spacing w:before="160" w:after="160"/>
                          <w:jc w:val="both"/>
                        </w:pP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2.10136.000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25284,00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Безвозмездные поступления от физических лиц инвентаря</w:t>
                        </w:r>
                      </w:p>
                    </w:tc>
                  </w:tr>
                  <w:tr w:rsidR="0088460E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2.10134.000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79200,00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pPr>
                          <w:spacing w:before="160" w:after="16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Безвозмездные поступления от физических лиц компьютерной техники</w:t>
                        </w:r>
                      </w:p>
                    </w:tc>
                  </w:tr>
                </w:tbl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88460E">
                  <w:pPr>
                    <w:spacing w:before="160" w:after="160"/>
                    <w:jc w:val="both"/>
                  </w:pP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Пояснение формы 0503721: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1) в части полученных в 2020 г. безвозмездных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неденежных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поступлений (строка 110):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КОСГУ 191 начислены доходы от пожертвований материалов (получены наградные материалы отличившимся выпускникам и гигиенических масок): 9031,50 руб.;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КОСГУ 196 начислены доходы от пожертвований организацией негосударственного сектора мебели 197172 руб.;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КОСГУ 197 начислены доходы от пожертвований физическими лицами основных средств для осуществления платной деятельности 104484 руб.;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КОСГУ 199 произведена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дооценка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стоимости ограждения учреждения до рыночных цен 166000 руб.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Пояснение отклонений контрольных соотношений ф.721, ф.769, ф.737 в разрезе КОСГУ и видов деятельности: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>по КВД 5: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по КОСГУ 226 - отклонения на сумму вложений в изготовление материальных запасов по ЭКР 226 в размере 13800 руб.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>по КВД 4: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по КОСГУ 211 – отклонения на сумму изменения созданных резервов на оплату отпусков в сумме -118867,37 руб. (сч.401.60);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по КОСГУ 213 – отклонения на сумму изменения созданных резервов на начисления на оплату отпусков в сумме -35897,95 руб. (сч.401.60);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по КОСГУ 221 - отклонения на разницу сумм остатка на конец и начало отчетного года маркированных конвертов на сч.208 в сумме 268 руб.;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по КОСГУ 226 - отклонения на сумму расходов будущих периодов, числящихся 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401.50 в размере 3291,23 руб. (разница на начало и конец отчетного периода) и на сумму вложений в материальные запасы в размере 4350 руб.,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  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>по КВД 2: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по КОСГУ 226 – отклонения на разницу на начало и на конец года по сч.40150.226 -4433,86 руб.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     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Пояснение формы 050768 и формы 050721: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     по стр.230 «Вложения в материальные запасы» формы 050768 (КФО 4 и 5) отражены типографские услуги по изготовлению брошюр и бланков (КОСГУ 226):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по КВД 4 в сумме 4350 руб., по КВД 5 в сумме 13800 руб.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В связи с этим показатели стр.272 и стр.440 формы 050721 по КФО 4 и 5 равны.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Разница показателей стр.272 и стр.440 формы 050721 по КФО 2 составляет 13878 руб. – это списание металлолома и макулатуры на реализацию.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Пояснение формы 050769: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форме 050769 «Сведения по дебиторской и кредиторской задолженности учреждения» по всем КВД отражена текущая задолженность. Просроченной задолженности по состоянию на 01.01.2021 г. учреждение не имеет.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8460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88460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8460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Сведения об особенностях ведения учреждением бухгалтерского учета представлены в Таблице №4. Ведение бухгалтерского учета и составление отчетности в Учреждение производится с использованием специализированного программного продукта «1С:Предприятие».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В целях отражения в бухгалтерской отчетности достоверных данных об активах и обязательствах, а также в целях обеспечения сохранности финансовых и нефинансовых активов, в отчетном периоде проводились инвентаризации. В учреждении проводятся инвентаризации при смене материально-ответственных лиц, перед составлением годовой отчетности, а также в иных случаях, установленных законодательством. В целях мониторинга дебиторской (кредиторской) задолженности  ежегодно производятся сверки с контрагентами. В отчетном периоде инвентаризация проводилась перед составлением годовой бухгалтерской отчетности по состоянию на 01.12.2020 в период с 1 по 27 декабря 2020г. согласно приказу от 25 ноября 2020г № 01-01/35-1.  В ходе проведения инвентаризации расхождений с данными бухгалтерского учета не выявлено.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связи с тем, что у учреждения отсутствуют бюджетные инвестиции (КВД 6) и средства по обязательному медицинскому страхованию (КВД 7), оно не заполняет формы бухгалтерской отчетности по данным видам средств.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связи с отсутствием показателей учреждением не заполнены следующие формы бухгалтерской отчетности:   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- Сведения о финансовых вложениях учреждения (ф. 0503771);     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- Сведения о суммах заимствований (ф. 0503772);     </w:t>
                  </w:r>
                </w:p>
                <w:p w:rsidR="0088460E" w:rsidRDefault="00DD2459">
                  <w:pPr>
                    <w:spacing w:before="160" w:after="16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- Справка по консолидируемым расчетам (ф.0503725).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8460E" w:rsidRDefault="0088460E">
      <w:pPr>
        <w:rPr>
          <w:vanish/>
        </w:rPr>
      </w:pPr>
      <w:bookmarkStart w:id="2" w:name="__bookmark_3"/>
      <w:bookmarkEnd w:id="2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88460E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88460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r>
                    <w:rPr>
                      <w:color w:val="000000"/>
                    </w:rPr>
                    <w:t>Руководитель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88460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center"/>
                  </w:pPr>
                  <w:r>
                    <w:rPr>
                      <w:color w:val="000000"/>
                    </w:rPr>
                    <w:t>Е.Р. Семко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88460E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60E" w:rsidRDefault="00DD245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8460E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88460E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04F1A39905FA5F9ED8594E3E3F4C6DD7B1727BED</w:t>
                        </w:r>
                      </w:p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Семко Елена Романовна</w:t>
                        </w:r>
                      </w:p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30.12.2020 по 30.03.2022</w:t>
                        </w:r>
                      </w:p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8460E" w:rsidRDefault="0088460E">
                  <w:pPr>
                    <w:spacing w:line="1" w:lineRule="auto"/>
                  </w:pP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88460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>Руководитель планово-экономической службы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88460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center"/>
                  </w:pPr>
                  <w:r>
                    <w:rPr>
                      <w:color w:val="000000"/>
                    </w:rPr>
                    <w:t>Н.Г. Журавлева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88460E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60E" w:rsidRDefault="00DD245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8460E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88460E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7F5EA192AFE617BF62A732CB8E1891BFC084DA9B</w:t>
                        </w:r>
                      </w:p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Журавлева Наталья Германовна</w:t>
                        </w:r>
                      </w:p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30.12.2020 по 30.03.2022</w:t>
                        </w:r>
                      </w:p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8460E" w:rsidRDefault="0088460E">
                  <w:pPr>
                    <w:spacing w:line="1" w:lineRule="auto"/>
                  </w:pP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88460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88460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center"/>
                  </w:pPr>
                  <w:r>
                    <w:rPr>
                      <w:color w:val="000000"/>
                    </w:rPr>
                    <w:t>Н.Г. Журавлева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88460E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60E" w:rsidRDefault="00DD245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8460E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88460E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7F5EA192AFE617BF62A732CB8E1891BFC084DA9B</w:t>
                        </w:r>
                      </w:p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Журавлева Наталья Германовна</w:t>
                        </w:r>
                      </w:p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30.12.2020 по 30.03.2022</w:t>
                        </w:r>
                      </w:p>
                      <w:p w:rsidR="0088460E" w:rsidRDefault="00DD245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8460E" w:rsidRDefault="0088460E">
                  <w:pPr>
                    <w:spacing w:line="1" w:lineRule="auto"/>
                  </w:pP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</w:tr>
    </w:tbl>
    <w:p w:rsidR="0088460E" w:rsidRDefault="0088460E">
      <w:pPr>
        <w:rPr>
          <w:vanish/>
        </w:rPr>
      </w:pPr>
      <w:bookmarkStart w:id="3" w:name="__bookmark_4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88460E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jc w:val="center"/>
              <w:rPr>
                <w:color w:val="000000"/>
              </w:rPr>
            </w:pPr>
          </w:p>
        </w:tc>
      </w:tr>
      <w:tr w:rsidR="0088460E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jc w:val="center"/>
              <w:rPr>
                <w:color w:val="000000"/>
              </w:rPr>
            </w:pPr>
          </w:p>
        </w:tc>
      </w:tr>
      <w:tr w:rsidR="0088460E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(наименование, местонахождение )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jc w:val="center"/>
              <w:rPr>
                <w:color w:val="000000"/>
              </w:rPr>
            </w:pPr>
          </w:p>
        </w:tc>
      </w:tr>
      <w:tr w:rsidR="0088460E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</w:tr>
    </w:tbl>
    <w:p w:rsidR="0088460E" w:rsidRDefault="0088460E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88460E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88460E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88460E">
                  <w:pPr>
                    <w:spacing w:line="1" w:lineRule="auto"/>
                    <w:jc w:val="center"/>
                  </w:pP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8460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</w:tr>
      <w:tr w:rsidR="0088460E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88460E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pPr>
                    <w:jc w:val="center"/>
                  </w:pPr>
                  <w:r>
                    <w:rPr>
                      <w:color w:val="000000"/>
                    </w:rPr>
                    <w:t>Н.Г. Журавлева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8460E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5"/>
            </w:tblGrid>
            <w:tr w:rsidR="0088460E">
              <w:trPr>
                <w:trHeight w:val="184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60E" w:rsidRDefault="00DD245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8460E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5"/>
                  </w:tblGrid>
                  <w:tr w:rsidR="0088460E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460E" w:rsidRDefault="00DD245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Сертификат: 7F5EA192AFE617BF62A732CB8E1891BFC084DA9B</w:t>
                        </w:r>
                      </w:p>
                      <w:p w:rsidR="0088460E" w:rsidRDefault="00DD245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Владелец: Журавлева Наталья Германовна</w:t>
                        </w:r>
                      </w:p>
                      <w:p w:rsidR="0088460E" w:rsidRDefault="00DD245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30.12.2020 по 30.03.2022</w:t>
                        </w:r>
                      </w:p>
                      <w:p w:rsidR="0088460E" w:rsidRDefault="00DD245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8460E" w:rsidRDefault="0088460E">
                  <w:pPr>
                    <w:spacing w:line="1" w:lineRule="auto"/>
                  </w:pP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88460E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88460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88460E">
            <w:pPr>
              <w:spacing w:line="1" w:lineRule="auto"/>
              <w:jc w:val="center"/>
            </w:pPr>
          </w:p>
        </w:tc>
      </w:tr>
      <w:tr w:rsidR="0088460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</w:tr>
      <w:tr w:rsidR="0088460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DD245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60E" w:rsidRDefault="00DD245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60E" w:rsidRDefault="0088460E">
            <w:pPr>
              <w:spacing w:line="1" w:lineRule="auto"/>
            </w:pPr>
          </w:p>
        </w:tc>
      </w:tr>
      <w:tr w:rsidR="0088460E">
        <w:trPr>
          <w:trHeight w:val="230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8460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60E" w:rsidRDefault="00DD2459">
                  <w:r>
                    <w:rPr>
                      <w:color w:val="000000"/>
                    </w:rPr>
                    <w:t>22 января 2021 г.</w:t>
                  </w:r>
                </w:p>
              </w:tc>
            </w:tr>
          </w:tbl>
          <w:p w:rsidR="0088460E" w:rsidRDefault="0088460E">
            <w:pPr>
              <w:spacing w:line="1" w:lineRule="auto"/>
            </w:pPr>
          </w:p>
        </w:tc>
        <w:bookmarkStart w:id="5" w:name="_GoBack"/>
        <w:bookmarkEnd w:id="5"/>
      </w:tr>
    </w:tbl>
    <w:p w:rsidR="0088460E" w:rsidRDefault="0088460E">
      <w:pPr>
        <w:rPr>
          <w:vanish/>
        </w:rPr>
      </w:pPr>
    </w:p>
    <w:sectPr w:rsidR="0088460E" w:rsidSect="0088460E">
      <w:headerReference w:type="default" r:id="rId7"/>
      <w:footerReference w:type="default" r:id="rId8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31" w:rsidRDefault="00505531" w:rsidP="0088460E">
      <w:r>
        <w:separator/>
      </w:r>
    </w:p>
  </w:endnote>
  <w:endnote w:type="continuationSeparator" w:id="0">
    <w:p w:rsidR="00505531" w:rsidRDefault="00505531" w:rsidP="0088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8460E">
      <w:tc>
        <w:tcPr>
          <w:tcW w:w="10421" w:type="dxa"/>
        </w:tcPr>
        <w:p w:rsidR="0088460E" w:rsidRDefault="0088460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31" w:rsidRDefault="00505531" w:rsidP="0088460E">
      <w:r>
        <w:separator/>
      </w:r>
    </w:p>
  </w:footnote>
  <w:footnote w:type="continuationSeparator" w:id="0">
    <w:p w:rsidR="00505531" w:rsidRDefault="00505531" w:rsidP="0088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8460E">
      <w:tc>
        <w:tcPr>
          <w:tcW w:w="10421" w:type="dxa"/>
        </w:tcPr>
        <w:p w:rsidR="0088460E" w:rsidRDefault="0088460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60E"/>
    <w:rsid w:val="00505531"/>
    <w:rsid w:val="00691A6D"/>
    <w:rsid w:val="006F5D1F"/>
    <w:rsid w:val="0088460E"/>
    <w:rsid w:val="00D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8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2021-03-25T13:03:00Z</dcterms:created>
  <dcterms:modified xsi:type="dcterms:W3CDTF">2021-03-25T13:04:00Z</dcterms:modified>
</cp:coreProperties>
</file>